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Психолого-педагогический практикум</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«Психолого-педагогический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717.5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96.3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«Психолого-педагогический практикум»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Психолого-диагностической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 по пройденному мотериалу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428.6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общение. Невербальные средства общения. Мимика и пантомимика. Установление контакта. Позиции в общении. Конфликт. Приемы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разрешения конфликтных ситуаций. Обратная связь. Описание проблемной ситуации. Реконструкция картины поведения.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 маршрутов.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425.1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  работе психолого-педагогических методов;  знание новейших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 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Психометрические критерии научности психодиагностических методик:  валидность, надежность, репрезентативность.</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Психолого-педагогический диагноз и прогноз.</w:t>
            </w:r>
          </w:p>
          <w:p>
            <w:pPr>
              <w:jc w:val="both"/>
              <w:spacing w:after="0" w:line="240" w:lineRule="auto"/>
              <w:rPr>
                <w:sz w:val="24"/>
                <w:szCs w:val="24"/>
              </w:rPr>
            </w:pPr>
            <w:r>
              <w:rPr>
                <w:rFonts w:ascii="Times New Roman" w:hAnsi="Times New Roman" w:cs="Times New Roman"/>
                <w:color w:val="#000000"/>
                <w:sz w:val="24"/>
                <w:szCs w:val="24"/>
              </w:rPr>
              <w:t> 3. Проблема нормы в психодиагностике. Виды норм.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когнитивной сферы, тесты достижений.</w:t>
            </w:r>
          </w:p>
          <w:p>
            <w:pPr>
              <w:jc w:val="both"/>
              <w:spacing w:after="0" w:line="240" w:lineRule="auto"/>
              <w:rPr>
                <w:sz w:val="24"/>
                <w:szCs w:val="24"/>
              </w:rPr>
            </w:pPr>
            <w:r>
              <w:rPr>
                <w:rFonts w:ascii="Times New Roman" w:hAnsi="Times New Roman" w:cs="Times New Roman"/>
                <w:color w:val="#000000"/>
                <w:sz w:val="24"/>
                <w:szCs w:val="24"/>
              </w:rPr>
              <w:t> 2. Психодиагностика эмоциональной сферы.</w:t>
            </w:r>
          </w:p>
          <w:p>
            <w:pPr>
              <w:jc w:val="both"/>
              <w:spacing w:after="0" w:line="240" w:lineRule="auto"/>
              <w:rPr>
                <w:sz w:val="24"/>
                <w:szCs w:val="24"/>
              </w:rPr>
            </w:pPr>
            <w:r>
              <w:rPr>
                <w:rFonts w:ascii="Times New Roman" w:hAnsi="Times New Roman" w:cs="Times New Roman"/>
                <w:color w:val="#000000"/>
                <w:sz w:val="24"/>
                <w:szCs w:val="24"/>
              </w:rPr>
              <w:t> 3.Мотивационной сферы.</w:t>
            </w:r>
          </w:p>
          <w:p>
            <w:pPr>
              <w:jc w:val="both"/>
              <w:spacing w:after="0" w:line="240" w:lineRule="auto"/>
              <w:rPr>
                <w:sz w:val="24"/>
                <w:szCs w:val="24"/>
              </w:rPr>
            </w:pPr>
            <w:r>
              <w:rPr>
                <w:rFonts w:ascii="Times New Roman" w:hAnsi="Times New Roman" w:cs="Times New Roman"/>
                <w:color w:val="#000000"/>
                <w:sz w:val="24"/>
                <w:szCs w:val="24"/>
              </w:rPr>
              <w:t> 4. Диагностика личности, межличностных отношений.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индивидуального образовательного маршрута в психолого-педагогической теории.</w:t>
            </w:r>
          </w:p>
          <w:p>
            <w:pPr>
              <w:jc w:val="both"/>
              <w:spacing w:after="0" w:line="240" w:lineRule="auto"/>
              <w:rPr>
                <w:sz w:val="24"/>
                <w:szCs w:val="24"/>
              </w:rPr>
            </w:pPr>
            <w:r>
              <w:rPr>
                <w:rFonts w:ascii="Times New Roman" w:hAnsi="Times New Roman" w:cs="Times New Roman"/>
                <w:color w:val="#000000"/>
                <w:sz w:val="24"/>
                <w:szCs w:val="24"/>
              </w:rPr>
              <w:t> 2. Особенности проектирования индивидуальных образовательных маршрутов школьников.</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диагностика как основа проектирования индивидуальных образовательных маршрутов школьников старших классов.</w:t>
            </w:r>
          </w:p>
          <w:p>
            <w:pPr>
              <w:jc w:val="both"/>
              <w:spacing w:after="0" w:line="240" w:lineRule="auto"/>
              <w:rPr>
                <w:sz w:val="24"/>
                <w:szCs w:val="24"/>
              </w:rPr>
            </w:pPr>
            <w:r>
              <w:rPr>
                <w:rFonts w:ascii="Times New Roman" w:hAnsi="Times New Roman" w:cs="Times New Roman"/>
                <w:color w:val="#000000"/>
                <w:sz w:val="24"/>
                <w:szCs w:val="24"/>
              </w:rPr>
              <w:t> 4.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индивидуальной работы с учениками.</w:t>
            </w:r>
          </w:p>
          <w:p>
            <w:pPr>
              <w:jc w:val="both"/>
              <w:spacing w:after="0" w:line="240" w:lineRule="auto"/>
              <w:rPr>
                <w:sz w:val="24"/>
                <w:szCs w:val="24"/>
              </w:rPr>
            </w:pPr>
            <w:r>
              <w:rPr>
                <w:rFonts w:ascii="Times New Roman" w:hAnsi="Times New Roman" w:cs="Times New Roman"/>
                <w:color w:val="#000000"/>
                <w:sz w:val="24"/>
                <w:szCs w:val="24"/>
              </w:rPr>
              <w:t> 2. Планирование работы с родителями в школе.</w:t>
            </w:r>
          </w:p>
          <w:p>
            <w:pPr>
              <w:jc w:val="both"/>
              <w:spacing w:after="0" w:line="240" w:lineRule="auto"/>
              <w:rPr>
                <w:sz w:val="24"/>
                <w:szCs w:val="24"/>
              </w:rPr>
            </w:pPr>
            <w:r>
              <w:rPr>
                <w:rFonts w:ascii="Times New Roman" w:hAnsi="Times New Roman" w:cs="Times New Roman"/>
                <w:color w:val="#000000"/>
                <w:sz w:val="24"/>
                <w:szCs w:val="24"/>
              </w:rPr>
              <w:t> 3.Планирование внеклассных школьных мероприятий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Педагогическое общение.</w:t>
            </w:r>
          </w:p>
          <w:p>
            <w:pPr>
              <w:jc w:val="left"/>
              <w:spacing w:after="0" w:line="240" w:lineRule="auto"/>
              <w:rPr>
                <w:sz w:val="24"/>
                <w:szCs w:val="24"/>
              </w:rPr>
            </w:pPr>
            <w:r>
              <w:rPr>
                <w:rFonts w:ascii="Times New Roman" w:hAnsi="Times New Roman" w:cs="Times New Roman"/>
                <w:color w:val="#000000"/>
                <w:sz w:val="24"/>
                <w:szCs w:val="24"/>
              </w:rPr>
              <w:t> 2.Невербальные средства общения.</w:t>
            </w:r>
          </w:p>
          <w:p>
            <w:pPr>
              <w:jc w:val="left"/>
              <w:spacing w:after="0" w:line="240" w:lineRule="auto"/>
              <w:rPr>
                <w:sz w:val="24"/>
                <w:szCs w:val="24"/>
              </w:rPr>
            </w:pPr>
            <w:r>
              <w:rPr>
                <w:rFonts w:ascii="Times New Roman" w:hAnsi="Times New Roman" w:cs="Times New Roman"/>
                <w:color w:val="#000000"/>
                <w:sz w:val="24"/>
                <w:szCs w:val="24"/>
              </w:rPr>
              <w:t> 3.Мимика и пантомимика. Установление контакта. Позиции в общении.</w:t>
            </w:r>
          </w:p>
          <w:p>
            <w:pPr>
              <w:jc w:val="left"/>
              <w:spacing w:after="0" w:line="240" w:lineRule="auto"/>
              <w:rPr>
                <w:sz w:val="24"/>
                <w:szCs w:val="24"/>
              </w:rPr>
            </w:pPr>
            <w:r>
              <w:rPr>
                <w:rFonts w:ascii="Times New Roman" w:hAnsi="Times New Roman" w:cs="Times New Roman"/>
                <w:color w:val="#000000"/>
                <w:sz w:val="24"/>
                <w:szCs w:val="24"/>
              </w:rPr>
              <w:t> 4.Конфликт. Приемы разрешения конфликтных ситуаций.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Исследовательская позиция педагога.                                               2.Основы психодиагностической деятельности.                                          3.Оценка уровня общительности.                                                       4.Оценка самоконтроля в общении. 5. Оценка коммуникативных умений.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проектировочных умений.</w:t>
            </w:r>
          </w:p>
          <w:p>
            <w:pPr>
              <w:jc w:val="left"/>
              <w:spacing w:after="0" w:line="240" w:lineRule="auto"/>
              <w:rPr>
                <w:sz w:val="24"/>
                <w:szCs w:val="24"/>
              </w:rPr>
            </w:pPr>
            <w:r>
              <w:rPr>
                <w:rFonts w:ascii="Times New Roman" w:hAnsi="Times New Roman" w:cs="Times New Roman"/>
                <w:color w:val="#000000"/>
                <w:sz w:val="24"/>
                <w:szCs w:val="24"/>
              </w:rPr>
              <w:t> 2.Проектная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3.Анализ состояния объекта - основа квалифицированного проектирования его преобразования.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1.Планирование образовательного процесса в школе и его содержание.</w:t>
            </w:r>
          </w:p>
          <w:p>
            <w:pPr>
              <w:jc w:val="left"/>
              <w:spacing w:after="0" w:line="240" w:lineRule="auto"/>
              <w:rPr>
                <w:sz w:val="24"/>
                <w:szCs w:val="24"/>
              </w:rPr>
            </w:pPr>
            <w:r>
              <w:rPr>
                <w:rFonts w:ascii="Times New Roman" w:hAnsi="Times New Roman" w:cs="Times New Roman"/>
                <w:color w:val="#000000"/>
                <w:sz w:val="24"/>
                <w:szCs w:val="24"/>
              </w:rPr>
              <w:t> 2. Разработка и планирование урока.</w:t>
            </w:r>
          </w:p>
          <w:p>
            <w:pPr>
              <w:jc w:val="left"/>
              <w:spacing w:after="0" w:line="240" w:lineRule="auto"/>
              <w:rPr>
                <w:sz w:val="24"/>
                <w:szCs w:val="24"/>
              </w:rPr>
            </w:pPr>
            <w:r>
              <w:rPr>
                <w:rFonts w:ascii="Times New Roman" w:hAnsi="Times New Roman" w:cs="Times New Roman"/>
                <w:color w:val="#000000"/>
                <w:sz w:val="24"/>
                <w:szCs w:val="24"/>
              </w:rPr>
              <w:t> 3.Планирование внеклассной воспитательной работы.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педагогический практикум» / Пинигин В. 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Фетискин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978-5-9916-6715-9.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50.8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2023-2024_ФГОС3++2023_Бак-ОФО-ПО2(НОиИЯ)(23)_plx_Психолого-педагогический практикум</dc:title>
  <dc:creator>FastReport.NET</dc:creator>
</cp:coreProperties>
</file>